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23 vom 9. Februar 2022</w:t>
      </w:r>
    </w:p>
    <w:p>
      <w:r>
        <w:t>VS Kantonsgericht, 2022-02-09, FR</w:t>
      </w:r>
    </w:p>
    <w:p>
      <w:r>
        <w:rPr>
          <w:b/>
        </w:rPr>
        <w:t xml:space="preserve">Quelle: </w:t>
      </w:r>
      <w:r>
        <w:t>https://mcp.opencaselaw.ch/entscheid/vs_gerichte_C1 20 23</w:t>
      </w:r>
    </w:p>
    <w:p>
      <w:r>
        <w:t>FR: VS_GERICHTE C1 20 23 du 9 février 2022</w:t>
      </w:r>
    </w:p>
    <w:p>
      <w:r>
        <w:t>IT: VS_GERICHTE C1 20 23 del 9 febbraio 2022</w:t>
      </w:r>
    </w:p>
    <w:p>
      <w:pPr>
        <w:pStyle w:val="Heading2"/>
      </w:pPr>
      <w:r>
        <w:t>Regeste</w:t>
      </w:r>
    </w:p>
    <w:p>
      <w:r>
        <w:t>C1 20 23 JUGEMENT DU 9 FÉVRIER 2022 Tribunal cantonal du Valais Cour civile II Composition : Christian Zuber, président; Béatrice Neyroud, juge; Jean-Pierre Derivaz, juge suppléant; Geneviève Fellay, greffière; en la cause X _________, demandeur, défendeur en reconvention et appelant, représenté par Maître Viviane Barras, avocate à Sierre, contre Y _________, défenderesse, demanderesse en reconvention et appelée, représentée par Maître Michel De Palma, avocat à Sion. (divorce : contribution d'entretien en faveur de l'épouse) appel contre le jugement du 6 décembre 2019 rendu par le juge des districts d'Hérens et de Conthey</w:t>
      </w:r>
    </w:p>
    <w:p>
      <w:pPr>
        <w:pStyle w:val="Heading2"/>
      </w:pPr>
      <w:r>
        <w:t>Erwägungen</w:t>
      </w:r>
    </w:p>
    <w:p>
      <w:r>
        <w:rPr>
          <w:b/>
        </w:rPr>
        <w:t>E. 3</w:t>
      </w:r>
    </w:p>
    <w:p>
      <w:r>
        <w:t>L'appelant conteste, principalement, le principe d'une contribution d'entretien subsidiairement, l'ampleur et la durée de celle-ci.</w:t>
      </w:r>
    </w:p>
    <w:p>
      <w:r>
        <w:rPr>
          <w:b/>
        </w:rPr>
        <w:t>E. 3.1</w:t>
      </w:r>
    </w:p>
    <w:p>
      <w:r>
        <w:t>Le juge intimé a rappelé la teneur et la portée de l'article 125 CC, en sorte qu'il peut y être fait référence (consid. 6 du prononcé querellé). Il convient d'ajouter ce qui suit.</w:t>
      </w:r>
    </w:p>
    <w:p>
      <w:r>
        <w:rPr>
          <w:b/>
        </w:rPr>
        <w:t>E. 3.1.1</w:t>
      </w:r>
    </w:p>
    <w:p>
      <w:r>
        <w:t>Même lorsque le mariage a durablement marqué de son empreinte la situation de l'époux bénéficiaire, le principe de l'indépendance financière prime le droit à l'entretien après le divorce. Un époux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(ré)intégrer sur le marché du travail ou d'étendre une activité lucrative déjà existante s'impose dès la séparation lorsque l'on ne peut plus compter sérieusement sur une reprise de la vie commune (ATF 147 III 249 consid. 3.4.4; 138 III 97 consid. 2.2; 137 III 385 consid. 3.1; 130 III 537 consid. 3.2). Suivant la fonction et la composition de la fortune des époux, on peut attendre du créancier d'aliments - comme du débiteur - qu'il en entame la substance. En particulier, si elle a été accumulée dans un but de prévoyance pour les vieux jours ou si elle a servi, durant la vie commune, à financer le train de vie des époux, il est justifié de l'utiliser pour assurer leur entretien après la retraite. En revanche, tel ne sera, en principe, pas le cas lorsque les biens patrimoniaux ne sont pas aisément réalisables, qu'ils ont été acquis par succession ou investis dans la maison d'habitation (ATF 147 III 393 consid. 6.1.3 à 6.1.5; 129 III 7 consid. 3.1.2). La règle selon laquelle les biens acquis par succession ne doivent, en général, pas être entamés dans leur substance n'est pas justifiée par leur statut de biens propres, mais par le fait que leur fonction n'est pas, en principe, d'être consommés ou mis à disposition (ATF 147 III 393 consid. 6.3.1).</w:t>
      </w:r>
    </w:p>
    <w:p>
      <w:r>
        <w:rPr>
          <w:b/>
        </w:rPr>
        <w:t>E. 3.1.2</w:t>
      </w:r>
    </w:p>
    <w:p>
      <w:r>
        <w:t>Lorsque la capacité de gain fait défaut, en tout ou en partie, l'époux concerné peut prétendre à une contribution d'entretien, même après le divorce, pour autant que son conjoint dispose d'une capacité contributive suffisante (ATF 147 III 249 consid. 3.4.5).</w:t>
      </w:r>
    </w:p>
    <w:p>
      <w:r>
        <w:rPr>
          <w:b/>
        </w:rPr>
        <w:t>E. 3.1.3</w:t>
      </w:r>
    </w:p>
    <w:p>
      <w:r>
        <w:t>Le droit à une contribution d'entretien doit être limité dans le temps de manière appropriée (ATF 147 III 249 consid. 3.4.5). En pratique, l'obligation est souvent fixée</w:t>
      </w:r>
    </w:p>
    <w:p>
      <w:r>
        <w:t>- 18 - jusqu'au jour où le débiteur de l'entretien atteint l'âge de la retraite, puisque les ressources financières de celui-ci diminuent, en principe, à ce moment-là; même si le mariage avait perduré, le train de vie entretenu pendant la période de la vie active n’aurait dès lors pas pu continuer sans restriction (ATF 141 III 193 consid. 3.3, 465 consid. 3.2.1). Il n'est pas, pour autant, exclu d'allouer une rente sans limitation de durée (ATF 132 III 593 consid. 7.2), en particulier lorsque l'amélioration de la situation financière du créancier n'est pas envisageable et que les moyens du débiteur le permettent (arrêts 5A_113/2015 du 3 juillet 2015 consid. 6.2.1; 5A_424/2014 du 15 décembre 2014 consid. 4.1; 5A_435/2011 du 14 novembre 2011 consid. 7.2, in FamPra.ch 2012 p. 186, et réf. cit.). Le juge doit ainsi examiner concrètement les conditions post-retraite des époux. Selon les circonstances, l'épargne importante que l'un des conjoints se constitue chaque mois - quelque 20'000 fr. dans le cas d'espèce - permet de compenser la diminution des revenus au moment de la retraite. Il convient, le cas échéant, d'en tenir compte car le niveau de vie du couple n'aurait vraisemblablement pas été réduit en cas de maintien de la vie commune (ATF 132 III 593 consid. 7.2). En revanche, lorsqu’il est à prévoir que les deux époux, leur retraite venue, bénéficieront de rentes similaires, ce qui leur permettra de mener un train de vie semblable, une pension illimitée dans le temps ne se justifie pas (cf. arrêt 5C.261/2006 du 13 mars 2007 consid. 6 et 5C.279/2006 du 31 mai 2007 consid. 8.5).</w:t>
      </w:r>
    </w:p>
    <w:p>
      <w:r>
        <w:rPr>
          <w:b/>
        </w:rPr>
        <w:t>E. 3.1.4</w:t>
      </w:r>
    </w:p>
    <w:p>
      <w:r>
        <w:t>Le partage des prestations de sortie tend à assurer l'indépendance économique des conjoints après le divorce. Il permet de tenir compte des désavantages de prévoyance subis par l'un des époux durant le mariage (arrêt 5A_903/2019 du 6 juillet 2020 consid. 4.3.2, in FamPra.ch 2020 p. 1034). En cas de divorce, les revenus réalisés par les conjoints pendant les années de mariage sont répartis et attribués pour moitié à chacun des époux pour le calcul des rentes (art. 29quinquies al. 3 let. c LAVS; cf. ég. art. 29ter al. 2 lit. b LAVS; ATF 141 III 465 consid. 3.2.1). L'époux qui, durant la vie commune, n'a pas exercé d'activité lucrative, ne saurait, partant, prétendre à une rente viagère en faisant valoir qu'il bénéficiera d'une rente AVS quasiment inexistante (arrêt 5A_125/2019 du 9 septembre 2019 consid. 6.3.2).</w:t>
      </w:r>
    </w:p>
    <w:p>
      <w:r>
        <w:rPr>
          <w:b/>
        </w:rPr>
        <w:t>E. 3.2.1</w:t>
      </w:r>
    </w:p>
    <w:p>
      <w:r>
        <w:t>En l'espèce, les parties se sont mariées le xxx 1988 et séparées le xxx 2015. Deux enfants sont issus de leur union. Durant la vie commune, la partie défenderesse s'est consacrée à l'éducation des enfants et aux soins du ménage. Parallèlement, elle a</w:t>
      </w:r>
    </w:p>
    <w:p>
      <w:r>
        <w:t>- 19 - travaillé jusqu'en 2011, mais à un taux d'occupation réduit (consid. 2.2). Quoi qu'en dise l'appelant, le mariage a, partant, concrètement influencé la situation financière de l'intéressée. Cela ne signifie pas encore qu'elle puisse prétendre à une contribution d'entretien. Il convient encore d'examiner si, en dépit des efforts que l'on peut raisonnablement attendre d'elle, elle n'est pas ou pas totalement en mesure de pourvoir elle-même à son entretien convenable.</w:t>
      </w:r>
    </w:p>
    <w:p>
      <w:r>
        <w:rPr>
          <w:b/>
        </w:rPr>
        <w:t>E. 3.2.2.1</w:t>
      </w:r>
    </w:p>
    <w:p>
      <w:r>
        <w:t>A compter de la séparation des parties, survenue au mois de xxx 2015, la partie défenderesse n'a pas entrepris de démarches pour trouver un emploi. Elle n'a pas, pour autant, établi que son état de santé l'empêchait de mettre en valeur, à tout le moins pour partie, sa capacité de travail résiduelle. Si l'on peut raisonnablement exiger d'elle qu'elle exerce une activité lucrative dans le domaine du ménage, elle n'a pas la possibilité d'œuvrer à un taux d'occupation supérieur à 50 %, eu égard à son âge - 57 ans au moment de la suspension de la vie commune, 64 ans dans quelques mois -, à son taux d'invalidité - 40 % -, à son absence de formation professionnelle et à son éloignement du marché du travail à compter de 2011. Le revenu hypothétique n'excède pas, partant, le montant de 1500 francs. L'appelée perçoit, en sus, un quart de rente d'invalidité d'un montant mensuel de 420 francs. Elle dispose donc de 1920 fr. (1500 fr. + 420 fr.) par mois.</w:t>
      </w:r>
    </w:p>
    <w:p>
      <w:r>
        <w:rPr>
          <w:b/>
        </w:rPr>
        <w:t>E. 3.2.2.2</w:t>
      </w:r>
    </w:p>
    <w:p>
      <w:r>
        <w:t>Peu après l'introduction de l'action en divorce, la partie défenderesse a cédé à ses enfants les immeubles dont elle était propriétaire et/ou copropriétaire. A teneur des actes de la cause, sa volonté de faire une attribution gratuite était réelle au moment de la conclusion du contrat (cf. BADDELEY, Commentaire romand, 3e éd., 2021, n. 28 ad art. 239 CO). Elle pouvait, en outre, librement disposer des biens immobiliers cédés (cf. BADDELEY, n. 42 ss ad art. 239 CO). La partie demanderesse n'a pas invoqué l'incapacité de discernement de D _________ et/ou de C _________, qui ont accepté la donation (art. 241 al. 1 CO). Elle n'a pas non plus contesté que, par l'inscription au registre foncier, la propriété sur les immeubles litigieux avait été transférée (art. 242 al. 2 CO). Les donataires sont, partant, propriétaires des immeubles cédés. Postérieurement à l'exécution de la donation, ils n'ont pas commis une infraction pénale grave contre la donatrice ou l'un de ses proches. D _________ et/ou C _________ n'a[ont] pas non plus gravement failli aux devoirs que la loi lui[leur] imposait envers leur mère ou la famille de celle-ci (art. 249 ch. 1 et 2 CO; BADDELEY, n. 65a ad art. 239 CO).</w:t>
      </w:r>
    </w:p>
    <w:p>
      <w:r>
        <w:t>- 20 - A défaut de motif[s] de nullité, d'invalidation ou de révocation, il ne peut pas être tenu compte des immeubles litigieux dans le patrimoine de l'appelée. L'appelant n'a, au demeurant, pas établi l'existence d'un rendement hypothétique des biens immobiliers cédés (consid. 2.5.2 et 2.7.1). Il s'agissait, de surcroît, d'éléments de fortune acquis, pour l'essentiel, par succession ou donation, dont on ignore s'ils étaient aisément réalisables. Les parties n'ont, en outre, pas financé leur train de vie entièrement ou partiellement au moyen de ces biens immobiliers. La mise à contribution de ceux-ci doit, partant, être écartée.</w:t>
      </w:r>
    </w:p>
    <w:p>
      <w:r>
        <w:rPr>
          <w:b/>
        </w:rPr>
        <w:t>E. 3.2.2.3</w:t>
      </w:r>
    </w:p>
    <w:p>
      <w:r>
        <w:t>La partie défenderesse a obtenu, dans la liquidation du régime matrimonial, le montant de 26'000 francs. Pareil montant constitue une "réserve de secours" destinée à couvrir ses besoins futurs, eu égard à sa situation pécuniaire précaire, son âge et son état de santé (sur la réserve de secours qui varie entre 20'000 fr. et 40'000 fr.; cf. arrêts 5A_886/2017 du 20 mars 2018 consid. 5.2; 1B_265/2014 du 20 novembre 2014 consid. 3, et réf. cit.). La rente est limitée dans le temps (consid. 3.3). Le montant perçu à la suite du partage des prestations de sortie doit dès lors être exclu de la détermination de la contribution d'entretien (arrêt 5C.100/2002 du 11 juillet 2002 consid. 3.3).</w:t>
      </w:r>
    </w:p>
    <w:p>
      <w:r>
        <w:rPr>
          <w:b/>
        </w:rPr>
        <w:t>E. 3.2.3</w:t>
      </w:r>
    </w:p>
    <w:p>
      <w:r>
        <w:t>Le débirentier, qui supportait le fardeau de la preuve, n'a pas allégué et établi les faits dont il ressortait qu'il existait des sentiments mutuels ou une communauté de destins entre B _________ et la partie défenderesse (art. 8 CC; arrêt 5A_935/2020 du</w:t>
      </w:r>
    </w:p>
    <w:p>
      <w:r>
        <w:rPr>
          <w:b/>
        </w:rPr>
        <w:t>E. 3.2.4</w:t>
      </w:r>
    </w:p>
    <w:p>
      <w:r>
        <w:t>Depuis qu'il a cessé définitivement son activité professionnelle, le 1er juin 2020, le demandeur et défendeur en reconvention perçoit une rente de retraite anticipée d'un</w:t>
      </w:r>
    </w:p>
    <w:p>
      <w:r>
        <w:t>- 21 - montant mensuel de 4500 francs. Il a été exposé, dans le prononcé de mesures provisionnelles du 30 juillet 2020 (consid. 8.3.1 de cette décision), les motifs pour lesquels la nécessité d'accorder un droit à la retraite anticipée est reconnu pour les travailleurs du domaine de la ferblanterie tant au niveau cantonal (CCT de la technique et de l'enveloppe du bâtiment du canton du Valais et CCT RETAVAL) que fédéral (CCT pour la retraite anticipée dans le second œuvre romand [CCRA]). Ces conventions tendent à éviter le licenciement et le chômage des travailleurs âgés (art. 1er du règlement RETAVAL), à prévenir la pénibilité du travail en fin de carrière (http://www.retaval.ch/fr/portrait/une-retraite-anticipee-pour-les-artisans-du-batiment- 35) et à tenir compte de leur sollicitation physique (préambule CCRA). Pareils objectifs, qui portent notamment sur la préservation de la santé des travailleurs, méritent protection. L'appelant vit seul, en sorte que la base mensuelle du minimum d'existence s'élève à 1200 francs. Il supporte le loyer d'un appartement, par 550 fr. 50, les cotisations d'assurance-maladie obligatoire, par 391 fr. 75, et complémentaire, par 25 fr. 60, ainsi que les seuls impôts dont il s'acquitte, par 262 fr. 50. A défaut d'activité lucrative, il n'y a pas lieu de compter, en sus, des frais d'acquisition du revenu, tels des frais de déplacement et/ou le loyer d'une place de parc. Son minimum vital élargi se monte, partant, à 2430 fr. 35 (1200 fr. + 550 fr. 50 + 391 fr. 75 + 25 fr. 60 + 262 fr. 50).</w:t>
      </w:r>
    </w:p>
    <w:p>
      <w:r>
        <w:rPr>
          <w:b/>
        </w:rPr>
        <w:t>E. 3.2.5</w:t>
      </w:r>
    </w:p>
    <w:p>
      <w:r>
        <w:t>La situation pécuniaire des parties est précaire, en sorte qu'il convient d'appliquer la méthode du minimum vital avec répartition de l'excédent.</w:t>
      </w:r>
    </w:p>
    <w:p>
      <w:r>
        <w:rPr>
          <w:b/>
        </w:rPr>
        <w:t>E. 3.2.5.1</w:t>
      </w:r>
    </w:p>
    <w:p>
      <w:r>
        <w:t>Après avoir couvert leur minimum vital élargi, les parties disposent d'un montant de 1524 fr. 05 (4500 fr. + 1920 fr.] – [2430 fr. 35 + 2465 fr. 60]). L'appelée présente un déficit de 545 fr. 60 (2465 fr. 60 – 1920 fr.). Elle peut prétendre à la couverture de celui-ci et, en sus, à la moitié de l'excédent, soit un montant supplémentaire de 762 fr. (1524 fr. 05 : 2). La contribution d'entretien devrait, partant, être arrêtée au montant arrondi de 1307 fr. (545 fr. 60 + 762 fr.). Le premier juge a cependant alloué à l'intéressée un montant inférieur - 995 fr. -, à compter du 1er juin 2020. A défaut d'appel principal ou joint de la partie défenderesse, il convient de déterminer si la cour de céans peut néanmoins condamner la partie demanderesse à verser à celle-ci le montant de 1307 francs.</w:t>
      </w:r>
    </w:p>
    <w:p>
      <w:r>
        <w:rPr>
          <w:b/>
        </w:rPr>
        <w:t>E. 3.2.5.2</w:t>
      </w:r>
    </w:p>
    <w:p>
      <w:r>
        <w:t>Aux termes de l'article 58 al. 1 CPC, le tribunal ne peut accorder à une partie ni plus ni autre chose que ce qui est demandé, ni moins que ce qui est reconnu par la partie adverse. Lorsqu'une demande tend à l'allocation de divers postes d'un dommage</w:t>
      </w:r>
    </w:p>
    <w:p>
      <w:r>
        <w:t>- 22 -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(ATF 123 III 115 consid. 6 p. 119; 119 II 396 consid. 2 p. 397, et réf. cit.). Cette jurisprudence est également applicable à l'entretien après divorce (arrêt 5A_667/2015 du 1er février 2016 consid. 6.1, et réf. cit.). Pour déterminer si le juge reste dans le cadre des conclusions prises, il faut par conséquent se fonder sur le montant global réclamé (arrêts 865/2015 du 26 avril 2016 consid. 3.1; 5A_667/2015 du 1er février 2016 consid. 6.1, et réf.). En droit matrimonial, il est, en effet, fréquent que les contributions d’entretien soient calculées en montants échelonnés sur différentes périodes (GÖKSU/CONSTANTIN, Les conclusions en droit de la famille, in Revue de l'avocat 2020, p. 304). Dans l'arrêt 5A_865/2015 du 26 avril 2016, le Tribunal fédéral a, en substance, constaté qu’en fixant la contribution d’entretien de l’épouse à 3530 fr. du 1er septembre au 30 novembre 2014, et à 3410 fr. du 1er au 31 décembre 2014, la cour cantonale avait alloué le montant total de 420 fr. de plus pour cette période (quatre mois) que ce qu’elle réclamait. En revanche, à compter du 1er janvier 2015 et jusqu’au 1er septembre 2024, soit pour une période de plus de neuf ans, la cour cantonale avait fixé la contribution d’entretien à un montant très inférieur à celui réclamé par l'intéressée. Le Tribunal fédéral a dès lors considéré que la juridiction d'appel n'avait pas excédé le cadre des conclusions prises par l’épouse, en lui allouant au total moins que le montant global auquel elle prétendait.</w:t>
      </w:r>
    </w:p>
    <w:p>
      <w:r>
        <w:rPr>
          <w:b/>
        </w:rPr>
        <w:t>E. 3.2.5.3</w:t>
      </w:r>
    </w:p>
    <w:p>
      <w:r>
        <w:t>En l'occurrence, le juge intimé a alloué à la partie défenderesse une rente viagère de 995 fr. à compter du 1er juin 2020. La partie défenderesse a conclu au rejet de l'appel et, partant, au maintien du jugement qui lui accordait pareille rente non limitée dans le temps. Pour les motifs exposés au considérant 3.3, une contribution d'entretien ne saurait être allouée à la partie défenderesse au-delà du 31 mai 2023. Les parties seront alors âgées de 65 ans. La différence mensuelle de 312 fr. (1307 fr. – 995 fr.) durant quelque dix-huit mois demeure largement inférieure à une rente viagère de 995 francs. Pareille rente sur deux têtes court, en effet, jusqu'au décès de l'homme ou de la femme. Il s'agit d'une rente sur la vie la plus courte (STAUFFER/SCHAETZLE/WEBER, Tables de capitalisation, 7e éd., 2018, nos 4.35 ss). L'espérance de vie ressort de la table Z3. Un homme de 65 ans a une espérance de vie de 22 ans et une femme du même âge de 25 ans (STAUFFER/SCHAETZLE/WEBER, op. cit., p. 384). L'appelant est ainsi libéré du paiement</w:t>
      </w:r>
    </w:p>
    <w:p>
      <w:r>
        <w:t>- 23 - d'une rente de 995 fr. pendant une période, en principe, de plus de vingt ans. En fixant la contribution d'entretien à 1307 fr. jusqu'au 31 mai 2023, la cour de céans n'excède pas, partant, le cadre des conclusions prises par la partie défenderesse.</w:t>
      </w:r>
    </w:p>
    <w:p>
      <w:r>
        <w:rPr>
          <w:b/>
        </w:rPr>
        <w:t>E. 3.3</w:t>
      </w:r>
    </w:p>
    <w:p>
      <w:r>
        <w:t>Le droit à la rente de retraite anticipée s'éteindra à l'âge ordinaire de la retraite, soit le 5 mai 2023. Les revenus de l'intéressé seront alors sensiblement diminués. Les avoirs de prévoyance professionnelle acquis durant le mariage ont, en effet, été partagés par moitié. Les parties ont, partant, été placées dans une situation d'égalité. L'appelée, qui a moins travaillé, a ainsi pu compenser la perte de prévoyance survenue durant la vie commune. Pour le calcul des rentes AVS, les revenus réalisés pendant les années de mariage sont, par ailleurs, répartis et attribués pour moitié à chacun des époux. Conformément à l'accord des parties, le notaire Grégoire Luyet a versé le solde du prix de la villa à hauteur de 26'000 fr. à la partie défenderesse et de 2348 fr. 60 à la partie demanderesse. Les intéressés ne disposent pas, en sus, d'avoirs bancaires et/ou de biens immobiliers. Au 21 janvier 2020, le demandeur et défendeur en reconvention faisait l'objet de poursuites pour un montant total de 29'238 fr. 10. Il n'a pas pu, dans ces circonstances, constituer une épargne de nature à lui permettre de compenser la diminution des revenus au moment de la retraite. A l'âge ordinaire de la retraite, la situation des parties sera analogue tant en ce qui concerne leurs revenus que leurs charges. Dans ces circonstances, il n'y a pas lieu d'exiger de l'appelant qu'il verse une rente viagère à l'appelée de nature, de surcroît, à porter atteinte à l'intangibilité du minimum vital (consid. 2.6.1.2, 2e par.). La contribution d'entretien est dès lors limitée au 31 mai 2023. 4.</w:t>
      </w:r>
    </w:p>
    <w:p>
      <w:r>
        <w:t>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n. 7 ad art. 318 CPC). 4.1 Les frais sont, en principe, mis à la charge de la partie qui succombe (art. 106 al. 1 CPC). Lorsqu'aucune des parties n'obtient entièrement gain de cause, les frais sont répartis selon le sort de la cause (art. 106 al. 2 CPC). ll résulte des termes "sort de la cause" que, dans la répartition des frais, le juge peut notamment prendre en considération l'importance de chaque conclusion dans le litige, de même que le fait qu'une partie a obtenu gain de cause sur une question de principe. Cette circonstance est expressément prévue par l'article 107 al. 1 let. a CPC dans le cas analogue où la</w:t>
      </w:r>
    </w:p>
    <w:p>
      <w:r>
        <w:t>- 24 - demande est certes admise sur le principe, mais pas pour le montant réclamé (arrêts 5A_140/2019 du 5 juillet 2019 consid. 5.1.1; 4A_207/2015 du 2 septembre 2015 consid. 3.1). Le Tribunal est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4.2 4.2.1 En première instance, les parties sont convenues du principe du divorce, de la liquidation du régime matrimonial et du partage des prestations de sortie. Le demandeur et défendeur en reconvention a contesté, à tort, le principe d'une contribution d'entretien en faveur de l'épouse. Celle-ci a, pour sa part, méconnu que l'obligation d'entretien s'éteint, en principe, au moment où le débirentier atteint l'âge de la retraite. Au moment de statuer sur les frais, il convient de rappeler que les parties étaient âgées de 60 ans lors de l'ouverture de l'action, en sorte que la retraite constituait, à moyen terme, un fait prévisible. Eu égard à l'ensemble des circonstances, les frais de première instance, dont le montant - 3500 fr. - est confirmé, sont dès lors mis à la charge de X _________ à hauteur de deux cinquièmes (soit 1400 fr.) et de Y _________ à concurrence de trois cinquièmes (soit 2100 fr.). En première instance, les parties bénéficiaient de l’assistance judiciaire, en sorte que les frais sont supportés, dans l’immédiat, par l’Etat du Valais (art. 122 al. 1 let. b CPC), qui pourra, le cas échéant, en demander le remboursement aux conditions de l’article 123 CPC. 4.2.2 En appel, le demandeur et défendeur en reconvention a reproché, à juste titre, au juge intimé d'avoir alloué à la partie adverse une rente viagère. En revanche, il a contesté, à tort, devoir supporter une quelconque contribution d'entretien à compter de "la litispendance". Il a dès lors, sans succès, réclamé le remboursement des montants mensuels de 1600 fr. versés depuis le 21 novembre 2018 (p. 42, 46, 50 notamment de la déclaration d'appel). L'appel était, en outre, irrecevable en tant qu'il portait sur les dépens octroyés au conseil commis d'office. La requête en modification de mesures provisionnelles, dont les frais ont été renvoyés à fin de cause, a, pour l'essentiel, été rejetée. Les frais en seconde instance sont dès lors également répartis à hauteur de</w:t>
      </w:r>
    </w:p>
    <w:p>
      <w:r>
        <w:t>- 25 - deux cinquièmes à la charge de l'appelant et à concurrence de trois cinquièmes à celle de l'appelée. L'émolument d'appel est calculé par référence au barème applicable en première instance (cf. not. art. 16 LTar) et peut tenir compte d'un coefficient de réduction de 60% (art. 19 LTar). Les critères de fixation des frais en première et en seconde instance sont identiques (cf. art. 13 al. 1 LTar). Le degré de difficulté de la cause et son ampleur doivent être qualifiés d’ordinaires. Aussi, eu égard à la situation pécuniaire des parties, aux principes de la couverture des frais et de l'équivalence des prestations, notamment, l'émolument de justice est fixé à 1000 fr. et réparti à hauteur de 400 fr. à charge de X _________ et à hauteur de 600 fr. à charge de Y _________. Les parties sont au bénéfice de l’assistance judiciaire en seconde instance. Les frais sont dès lors supportés, dans l’immédiat, par le canton, qui pourra, le cas échéant, en demander le remboursement aux conditions de l’article 123 CPC. 4.3 A teneur de l’article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(1re phrase); le canton est subrogé à concurrence du montant versé à compter du jour du paiement (2nde phrase). Si les dépens paraissent recouvrables, la décision finale se bornera à allouer lesdits dépens. Une rémunération équitable ne sera fixée, par une décision ultérieure, que si l’ayant droit justifie de démarches de recouvrement infructueuses; le tribunal dispose d’un large pouvoir d’appréciation au sujet de l’ampleur exigible de telles démarches (TAPPY, n. 15 ad art. 122 CPC). La loi ne prévoit pas comment régler les frais en cas de gain partiel du procès. Les solutions des al. 1 et 2 de l’article 122 CPC devraient toutefois être appliquées mutatis mutandis, l’idée étant toujours que la part de frais judiciaires qui aurait été mise à la charge du bénéficiaire s’il n’avait pas obtenu l’assistance judiciaire soit à la charge du canton et que le conseil d’office soit rétribué par les dépens, le cas échéant réduits, alloués audit bénéficiaire et complétés si nécessaire jusqu’à concurrence d’une rétribution équitable au sens défini plus haut par un versement du canton (TAPPY, n. 19 ad art. 122 CPC). 4.3.1 En l’espèce, en première instance, les parties bénéficiaient de l’assistance judiciaire. Elles sont indigentes, en sorte que le recouvrement des dépens n’apparaît pas vraisemblable. Me Viviane Barras et Me Michel De Palma n’ont pas recouru contre les montants qui leur ont été alloués. L'appel de X _________ est irrecevable dans la</w:t>
      </w:r>
    </w:p>
    <w:p>
      <w:r>
        <w:t>- 26 - mesure où il portait sur l'indemnité allouée à son conseil commis d'office. L'activité des conseils des parties en première instance est semblable et peut être estimé à 6300 fr., débours - 300 fr. - compris. Compte tenu de l’assistance judiciaire octroyée au demandeur et appelant, l’Etat du Valais versera à Me Barras, pour son activité en première instance, une indemnité de 1800 fr. en sa qualité de conseil juridique commis d’office de X _________ qui succombe pour 2/5 ([6000 fr. x 2/5 x 70 %] + [300 fr. x 2/5]). En principe, Y _________, qui succombe pour 3/5, devrait verser à X _________ la somme de 3780 fr. (3600 fr. [6000 fr. x 3/5] + 180 fr. [300 fr. x 3/5]). Toutefois, le recouvrement de ses dépens n’apparaît pas vraisemblable vu l’indigence de la défenderesse. L’Etat du Valais versera donc en sus à Me Barras un montant de 2700 fr. ([3600 fr. x 70 %] + 180 fr.). Au total, l’Etat du Valais lui versera donc 4500 fr. (1800 fr. + 2700 fr.) pour son activité de conseil juridique commis d’office de X _________ pour la procédure de première instance. Compte tenu de l’assistance judiciaire octroyée à la défenderesse et appelée avec effet au 21 août 2019, on peut estimer, vu le montant alloué en première instance et non contesté, que les honoraires dus dès cette date s’élèvent au plein tarif à 1300 fr., débours par 100 fr. compris. En conséquence, l’Etat du Valais versera à Me De Palma, pour son activité en première instance couverte par l’assistance judiciaire, une indemnité de 564 fr. en sa qualité de conseil juridique commis d’office de Y _________ qui succombe pour 3/5 ([1200 fr. x 3/5 x 70 %] + [100 fr. x 3/5]). En principe, X _________, qui succombe pour 2/5, devrait verser à Y _________ la somme de 520 fr. (480 fr. [1200 fr. x 2/5] + 40 fr. [100 fr. x 2/5]) pour la période couverte par l’assistance judiciaire. Toutefois, le recouvrement de ses dépens n’apparaît pas vraisemblable vu l’indigence du demandeur. L’Etat du Valais versera donc en sus à Me De Palma un montant de 376 fr. ([480 fr. x 70 %] + 40 fr.). Au total, l’Etat du Valais lui versera donc 940 fr. (564 fr. + 376 fr.) pour son activité de conseil juridique commis d’office de Y _________ pour la procédure de première instance. 4.3.2 En appel, il y a également lieu de fixer la rémunération équitable sans exiger, au préalable, que les ayants droit justifient de démarches de recouvrement infructueuses. En seconde instance, l’activité du conseil de l’appelant a, pour l’essentiel, consisté à rédiger une déclaration d’appel, qui comportait une requête de mesures provisionnelles. L'écriture est certes longue - 55 pages -, mais elle contient de nombreuses répétitions. Le conseil de l’appelée a, pour sa part, rédigé une réponse. Il s'est, pour l'essentiel,</w:t>
      </w:r>
    </w:p>
    <w:p>
      <w:r>
        <w:t>- 27 - déterminé sur les faits de l'appel. Il a consacré moins de trois lignes à la question de la durée de la contribution d'entretien. La cause présentait un degré usuel de difficulté. Les dépens du conseil de X _________ sont dès lors arrêtés, au plein tarif, à 4220 fr. et ceux du conseil de Y _________ à 1410 fr., débours - 150 fr., respectivement 50 fr. - compris, eu égard à l’activité utilement déployée par les intéressés, quelque quinze heures pour la partie demanderesse appelante, et environ cinq heures pour la partie adverse appelée. Compte tenu de l’assistance judiciaire octroyée au demandeur et appelant, l’Etat du Valais versera à Me Barras, pour son activité en appel, une indemnité de 1200 fr. en sa qualité de conseil juridique commis d’office de X _________, qui succombe pour 2/5 ([4070 fr. x 2/5 x 70 %] + [150 fr. x 2/5]). En principe, Y _________, qui succombe pour 3/5, devrait verser à X _________ la somme de 2532 fr. (2442 fr. [4070 fr. x 3/5] + 90 fr. [150 fr. x 3/5]). Toutefois, le recouvrement de ses dépens n’apparaît pas vraisemblable vu l’indigence de la défenderesse. L’Etat du Valais versera donc en sus à Me Barras un montant de 1800 fr. ([2442 fr. x 70 %] + 90 fr.). Au total, l’Etat du Valais lui versera une indemnité de 3000 fr. (1200 fr. + 1800 fr.) pour son activité de conseil juridique commis d’office de X _________ pour la procédure d’appel. Compte tenu de l’assistance judiciaire octroyée à la défenderesse et appelée, l’Etat du Valais versera à Me De Palma, pour son activité en appel, une indemnité de 600 fr. en sa qualité de conseil juridique commis d’office de Y _________, qui succombe pour 3/5 ([1360 fr. x 3/5 x 70 %] + [50 fr. x 3/5]). En principe, X _________, qui succombe pour 2/5, devrait verser à Y _________ la somme de 564 fr. (544 fr. [1360 fr. x 2/5] + 20 fr. [50 fr. x 2/5]). Toutefois, le recouvrement de ses dépens n’apparaît pas vraisemblable vu l’indigence du demandeur. L’Etat du Valais versera donc en sus à Me De Palma un montant de 400 fr. ([544 fr. x 70 %] + 20 fr.). Au total, l’Etat du Valais lui versera une indemnité de 1000 fr. (600 fr. + 400 fr.) pour son activité de conseil juridique commis d’office de Y _________ pour la procédure d’appel. 4.3.3 Eu égard aux considérations qui précèdent, l’Etat du Valais est subrogé dans les droits de X _________ à l’encontre de Y _________ à concurrence de 4500 fr. (2700 fr. pour la procédure de première instance + 1800 fr. pour la procédure d’appel) et dans les droits de celle-là contre celui-ci à concurrence de 776 fr. (376 fr. pour la procédure de première instance + 400 fr. pour la procédure d’appel).</w:t>
      </w:r>
    </w:p>
    <w:p>
      <w:r>
        <w:t>Par ces motifs,</w:t>
      </w:r>
    </w:p>
    <w:p>
      <w:r>
        <w:t>- 28 - Prononce L’appel est partiellement admis dans la mesure où il est recevable. Le jugement du 6 décembre 2019, dont les chiffres 1, 3, et 4 du dispositif sont en force formelle de chose jugée en la teneur suivante : 1. Le mariage célébré le xxx 1988 devant l'officier de l'état civil de A _________ entre X _________ et Y _________ est dissous par le divorce. 3. Le régime matrimonial est liquidé de la manière suivante: - Les parties conviennent que du solde du prix de vente de leur villa à A _________, soit 28'348 fr. 60 encore consigné chez le notaire Grégoire Luyet, 26'000 fr. reviendront à Y _________ et 2348 fr. 60 à X _________. Le notaire est expressément instruit de verser les montants en question aux parties. - Moyennant bonne et fidèle exécution de ce qui précède les parties se donnent quittance pour solde de tout compte et de toute prétention concernant la liquidation de leur régime matrimonial. Chaque partie reste propriétaire des biens en sa possession et en son nom et débitrice des dettes en son nom. 4. Ordre est donné à la Caisse de retraite paritaire de l'artisanat du bâtiment du canton du Valais, à Sion, de prélever un montant de 95'651 fr. 25 sur la prestation de sortie LPP de X _________ (n° AVS : xxx) et de le créditer sur le compte de libre passage de Y _________ auprès de la Fondation institution supplétive LPP, à Zurich (compte n° xxx; n° AVS xxx). est réformé; en conséquence, il est statué : 2. X _________ versera à Y _________, d’avance, le premier de chaque mois, une contribution d’entretien de 1307 fr. jusqu'au 31 mai 2023. 5. Les frais, par 4500 fr. (1re instance : 3500 fr. ; appel : 1000 fr.), sont mis à la charge de X _________ à hauteur de 1800 fr. (1re instance : 1400 fr. ; appel : 400 fr.) et de Y _________ à concurrence de 2700 fr. (1re instance : 2100 fr. ; appel : 600 fr.), mais avancés par l'Etat du Valais à titre de l'assistance judiciaire. 6. L’Etat du Valais versera à Me Viviane Barras, avocate à Sierre, une indemnité de 7500 fr. (1re instance : 4500 fr. ; appel : 3000 fr.) pour son activité de conseil juridique commis d’office. L’Etat du Valais est subrogé à concurrence de 4500 fr. dans les droits de X _________ contre Y _________ (1re instance : 2700 fr. ; appel : 1800 fr.).</w:t>
      </w:r>
    </w:p>
    <w:p>
      <w:r>
        <w:t>- 29 - 7. L’Etat du Valais versera à Me Michel De Palma, avocat à Sion, une indemnité de 1940 fr. (1re instance : 940 fr. ; appel : 1000 fr.) pour son activité de conseil juridique commis d’office. L’Etat du Valais est subrogé à concurrence de 776 fr. dans les droits de Y _________ contre X _________ (1re instance : 376 fr. ; appel : 400 fr.).</w:t>
      </w:r>
    </w:p>
    <w:p>
      <w:r>
        <w:rPr>
          <w:b/>
        </w:rPr>
        <w:t>E. 8</w:t>
      </w:r>
    </w:p>
    <w:p>
      <w:r>
        <w:t>X _________ sera tenu de rembourser à l'Etat du Valais le montant de 4800 fr. (frais judiciaires : 1800 fr.; dépens : 3000 fr. [1re instance : 1800 fr. ; appel : 1200 fr.]) dès qu'il sera en mesure de le faire.</w:t>
      </w:r>
    </w:p>
    <w:p>
      <w:r>
        <w:rPr>
          <w:b/>
        </w:rPr>
        <w:t>E. 9</w:t>
      </w:r>
    </w:p>
    <w:p>
      <w:r>
        <w:t>Y _________ sera tenue de rembourser à l'Etat du Valais le montant de 3864 fr. (frais judiciaires : 2700 fr.; dépens : 1164 fr. [1re instance : 564 fr. ; appel : 600 fr.]) dès qu'elle sera en mesure de le faire.</w:t>
      </w:r>
    </w:p>
    <w:p>
      <w:r>
        <w:t>Sion, le 9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